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ASESOR </w:t>
      </w:r>
      <w:r w:rsidR="00A72D37">
        <w:rPr>
          <w:rFonts w:ascii="Bookman Old Style" w:hAnsi="Bookman Old Style"/>
          <w:b/>
          <w:sz w:val="24"/>
          <w:szCs w:val="24"/>
          <w:lang w:val="sv-SE"/>
        </w:rPr>
        <w:t>MUDA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1C1C0E" w:rsidRPr="001C1C0E">
        <w:rPr>
          <w:rFonts w:ascii="Bookman Old Style" w:hAnsi="Bookman Old Style"/>
          <w:b/>
          <w:sz w:val="24"/>
          <w:szCs w:val="24"/>
          <w:highlight w:val="yellow"/>
          <w:lang w:val="sv-SE"/>
        </w:rPr>
        <w:t>BADAN USAHA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BIDANG DISTRIBUSI</w:t>
      </w:r>
    </w:p>
    <w:p w:rsidR="002420B2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080B16" w:rsidRPr="000348E2" w:rsidRDefault="00080B16" w:rsidP="00080B16">
      <w:pPr>
        <w:tabs>
          <w:tab w:val="left" w:pos="567"/>
          <w:tab w:val="left" w:pos="2410"/>
        </w:tabs>
        <w:spacing w:before="120" w:line="360" w:lineRule="auto"/>
        <w:ind w:left="567"/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0" w:name="_Toc508002087"/>
      <w:r w:rsidRPr="000348E2">
        <w:rPr>
          <w:rStyle w:val="Style2Char"/>
          <w:rFonts w:ascii="Bookman Old Style" w:hAnsi="Bookman Old Style"/>
          <w:b w:val="0"/>
          <w:szCs w:val="24"/>
        </w:rPr>
        <w:t xml:space="preserve">Kode Unit 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</w:r>
      <w:bookmarkEnd w:id="0"/>
      <w:r w:rsidRPr="000348E2">
        <w:rPr>
          <w:rStyle w:val="Style2Char"/>
          <w:rFonts w:ascii="Bookman Old Style" w:hAnsi="Bookman Old Style"/>
          <w:b w:val="0"/>
          <w:szCs w:val="24"/>
        </w:rPr>
        <w:t>…</w:t>
      </w:r>
    </w:p>
    <w:p w:rsidR="00080B16" w:rsidRPr="009C48BC" w:rsidRDefault="00080B16" w:rsidP="009C48BC">
      <w:pPr>
        <w:tabs>
          <w:tab w:val="left" w:pos="2410"/>
        </w:tabs>
        <w:spacing w:line="276" w:lineRule="auto"/>
        <w:ind w:left="283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1" w:name="_Toc508002088"/>
      <w:r w:rsidRPr="000348E2">
        <w:rPr>
          <w:rStyle w:val="Style2Char"/>
          <w:rFonts w:ascii="Bookman Old Style" w:hAnsi="Bookman Old Style"/>
          <w:b w:val="0"/>
          <w:szCs w:val="24"/>
        </w:rPr>
        <w:t>Judul Unit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ab/>
      </w:r>
      <w:bookmarkEnd w:id="1"/>
      <w:r w:rsidR="000348E2" w:rsidRPr="009C48BC">
        <w:rPr>
          <w:rFonts w:ascii="Bookman Old Style" w:hAnsi="Bookman Old Style"/>
          <w:b/>
          <w:sz w:val="24"/>
          <w:szCs w:val="24"/>
          <w:lang w:val="sv-SE"/>
        </w:rPr>
        <w:t>M</w:t>
      </w:r>
      <w:r w:rsidR="002420B2" w:rsidRPr="009C48BC">
        <w:rPr>
          <w:rFonts w:ascii="Bookman Old Style" w:hAnsi="Bookman Old Style"/>
          <w:b/>
          <w:sz w:val="24"/>
          <w:szCs w:val="24"/>
          <w:lang w:val="sv-SE"/>
        </w:rPr>
        <w:t>elaksanakan ases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>men terhadap</w:t>
      </w:r>
      <w:r w:rsidR="000348E2"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asesor </w:t>
      </w:r>
      <w:r w:rsidR="004A5050" w:rsidRPr="009C48BC">
        <w:rPr>
          <w:rFonts w:ascii="Bookman Old Style" w:hAnsi="Bookman Old Style"/>
          <w:b/>
          <w:sz w:val="24"/>
          <w:szCs w:val="24"/>
          <w:lang w:val="sv-SE"/>
        </w:rPr>
        <w:t>Muda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1C1C0E" w:rsidRPr="009C48BC">
        <w:rPr>
          <w:rFonts w:ascii="Bookman Old Style" w:hAnsi="Bookman Old Style"/>
          <w:b/>
          <w:sz w:val="24"/>
          <w:szCs w:val="24"/>
          <w:highlight w:val="yellow"/>
          <w:lang w:val="sv-SE"/>
        </w:rPr>
        <w:t>badan usaha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Pr="009C48BC">
        <w:rPr>
          <w:rFonts w:ascii="Bookman Old Style" w:hAnsi="Bookman Old Style"/>
          <w:b/>
          <w:sz w:val="24"/>
          <w:szCs w:val="24"/>
          <w:highlight w:val="yellow"/>
          <w:lang w:val="sv-SE"/>
        </w:rPr>
        <w:t>bidang distribusi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</w:p>
    <w:p w:rsidR="00080B16" w:rsidRPr="009C48BC" w:rsidRDefault="00080B16" w:rsidP="009C48BC">
      <w:pPr>
        <w:tabs>
          <w:tab w:val="left" w:pos="2410"/>
        </w:tabs>
        <w:spacing w:line="276" w:lineRule="auto"/>
        <w:ind w:left="2835" w:hanging="2268"/>
        <w:jc w:val="both"/>
        <w:rPr>
          <w:rFonts w:ascii="Bookman Old Style" w:hAnsi="Bookman Old Style"/>
          <w:noProof/>
          <w:sz w:val="24"/>
          <w:szCs w:val="24"/>
          <w:lang w:val="id-ID" w:eastAsia="id-ID"/>
        </w:rPr>
      </w:pPr>
      <w:r w:rsidRPr="009C48BC">
        <w:rPr>
          <w:rStyle w:val="Style2Char"/>
          <w:rFonts w:ascii="Bookman Old Style" w:eastAsia="Calibri" w:hAnsi="Bookman Old Style"/>
          <w:b w:val="0"/>
          <w:szCs w:val="24"/>
        </w:rPr>
        <w:t>Deskripsi Unit</w:t>
      </w:r>
      <w:r w:rsidRPr="009C48BC">
        <w:rPr>
          <w:rStyle w:val="Style2Char"/>
          <w:rFonts w:ascii="Bookman Old Style" w:eastAsia="Calibri" w:hAnsi="Bookman Old Style"/>
          <w:b w:val="0"/>
          <w:szCs w:val="24"/>
          <w:lang w:val="id-ID"/>
        </w:rPr>
        <w:tab/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>:</w:t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ab/>
        <w:t xml:space="preserve">Unit  kompetensi  ini  berkaitan  dengan  kegiatan asesmen  bagi tenaga teknik </w:t>
      </w:r>
      <w:r w:rsidR="00AC6EF8"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mencakup </w:t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Pengetahuan,  Keterampilan  dan  Sikap Kerja yang terintegrasi dalam melaksanakan suatu tugas  di  Bidang  Ketenagalistrikan  secara menyeluruh, sesuai Standar dan batasan yang ditetapkan  dalam Standar Kompetensi </w:t>
      </w:r>
      <w:r w:rsidR="00AC6EF8" w:rsidRPr="009C48BC">
        <w:rPr>
          <w:rStyle w:val="Style2Char"/>
          <w:rFonts w:ascii="Bookman Old Style" w:eastAsia="Calibri" w:hAnsi="Bookman Old Style"/>
          <w:b w:val="0"/>
          <w:szCs w:val="24"/>
        </w:rPr>
        <w:t>Bidang Distribusi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080B16" w:rsidRPr="009C48BC" w:rsidTr="004855D4">
        <w:tc>
          <w:tcPr>
            <w:tcW w:w="3969" w:type="dxa"/>
            <w:shd w:val="clear" w:color="auto" w:fill="F2F2F2"/>
            <w:vAlign w:val="center"/>
          </w:tcPr>
          <w:p w:rsidR="00080B16" w:rsidRPr="009C48BC" w:rsidRDefault="00080B16" w:rsidP="009C48BC">
            <w:pPr>
              <w:tabs>
                <w:tab w:val="left" w:pos="1980"/>
              </w:tabs>
              <w:spacing w:before="40" w:after="40"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080B16" w:rsidRPr="009C48BC" w:rsidRDefault="00080B16" w:rsidP="009C48BC">
            <w:pPr>
              <w:tabs>
                <w:tab w:val="left" w:pos="1980"/>
              </w:tabs>
              <w:spacing w:before="40" w:after="40"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Mengidentifikasi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  <w:t xml:space="preserve">Unit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yang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Badan Usaha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batasan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ditetapk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l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am</w:t>
            </w:r>
            <w:proofErr w:type="spellEnd"/>
            <w:proofErr w:type="gramEnd"/>
            <w:r w:rsidRPr="009C48BC">
              <w:rPr>
                <w:rFonts w:ascii="Bookman Old Style" w:eastAsia="Verdana" w:hAnsi="Bookman Old Style" w:cs="Verdana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Badan Usaha.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Konteks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serta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tujuan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l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aian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iskusikan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serta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bersama</w:t>
            </w:r>
            <w:proofErr w:type="spellEnd"/>
          </w:p>
          <w:p w:rsidR="00575D6B" w:rsidRPr="009C48BC" w:rsidRDefault="009C48BC" w:rsidP="009C48BC">
            <w:pPr>
              <w:tabs>
                <w:tab w:val="left" w:pos="756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1.3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="00575D6B"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Verifikasi kesesuaian data Badan Usaha  dengan standar uji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dijelaskan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sistem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2.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Merencanakan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line="276" w:lineRule="auto"/>
              <w:ind w:left="712" w:right="58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Sumber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daya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i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perlukan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spesifikasi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/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erjaan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tertulis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lisan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Cek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r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aktik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spacing w:before="10" w:line="276" w:lineRule="auto"/>
              <w:ind w:left="102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2.5 </w:t>
            </w:r>
            <w:r w:rsidRPr="009C48BC">
              <w:rPr>
                <w:rFonts w:ascii="Bookman Old Style" w:eastAsia="Verdana" w:hAnsi="Bookman Old Style" w:cs="Verdana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2.6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Rancangan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ditempat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berlaku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2.7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(data, SOP,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Instruksi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)   </w:t>
            </w:r>
            <w:r w:rsidRPr="009C48BC">
              <w:rPr>
                <w:rFonts w:ascii="Bookman Old Style" w:eastAsia="Verdana" w:hAnsi="Bookman Old Style" w:cs="Verdana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diinterprestasikan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unjuk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9C48BC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diharapkan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3.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uji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spacing w:line="276" w:lineRule="auto"/>
              <w:ind w:left="102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3.1 </w:t>
            </w:r>
            <w:r w:rsidRPr="009C48BC">
              <w:rPr>
                <w:rFonts w:ascii="Bookman Old Style" w:eastAsia="Verdana" w:hAnsi="Bookman Old Style" w:cs="Verdana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3.2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</w:t>
            </w:r>
            <w:r w:rsidRPr="009C48BC">
              <w:rPr>
                <w:rFonts w:ascii="Bookman Old Style" w:eastAsia="Verdana" w:hAnsi="Bookman Old Style" w:cs="Verdan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</w:t>
            </w:r>
            <w:r w:rsidRPr="009C48BC">
              <w:rPr>
                <w:rFonts w:ascii="Bookman Old Style" w:eastAsia="Verdana" w:hAnsi="Bookman Old Style" w:cs="Verdan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</w:t>
            </w:r>
            <w:r w:rsidRPr="009C48BC">
              <w:rPr>
                <w:rFonts w:ascii="Bookman Old Style" w:eastAsia="Verdana" w:hAnsi="Bookman Old Style" w:cs="Verdan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Mem</w:t>
            </w:r>
            <w:r w:rsidRPr="009C48BC">
              <w:rPr>
                <w:rFonts w:ascii="Bookman Old Style" w:hAnsi="Bookman Old Style" w:cs="Arial"/>
                <w:spacing w:val="-1"/>
                <w:sz w:val="24"/>
                <w:szCs w:val="24"/>
              </w:rPr>
              <w:t>b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>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 uji kompetensi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</w:tabs>
              <w:spacing w:line="276" w:lineRule="auto"/>
              <w:ind w:left="712" w:right="56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3.3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Tempat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dipe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r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siapkan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keperluan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  <w:lang w:val="id-ID"/>
              </w:rPr>
              <w:t>5.</w:t>
            </w:r>
            <w:r w:rsidRPr="009C48BC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Mencatat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</w:tabs>
              <w:spacing w:line="276" w:lineRule="auto"/>
              <w:ind w:left="712" w:right="56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3.4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j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dikumpulkan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telah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ditetap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sebelumnya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3.5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e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i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ndingkan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6. </w:t>
            </w:r>
            <w:proofErr w:type="spellStart"/>
            <w:r w:rsidRPr="009C48BC">
              <w:rPr>
                <w:rFonts w:ascii="Bookman Old Style" w:hAnsi="Bookman Old Style" w:cs="Arial"/>
                <w:spacing w:val="-1"/>
                <w:sz w:val="24"/>
                <w:szCs w:val="24"/>
              </w:rPr>
              <w:t>Memberikan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ump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</w:tabs>
              <w:spacing w:line="276" w:lineRule="auto"/>
              <w:ind w:left="712" w:right="57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4.1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validitas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otentik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kekinian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kecukupan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before="9" w:line="276" w:lineRule="auto"/>
              <w:ind w:left="712" w:right="56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4.2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berdasark</w:t>
            </w:r>
            <w:r w:rsidRPr="009C48BC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melaksanakan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      </w:t>
            </w:r>
            <w:r w:rsidRPr="009C48BC">
              <w:rPr>
                <w:rFonts w:ascii="Bookman Old Style" w:eastAsia="Verdana" w:hAnsi="Bookman Old Style" w:cs="Verdana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mengelola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sejumlah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 </w:t>
            </w:r>
            <w:r w:rsidRPr="009C48BC">
              <w:rPr>
                <w:rFonts w:ascii="Bookman Old Style" w:eastAsia="Verdana" w:hAnsi="Bookman Old Style" w:cs="Verdana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Kete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r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ampilan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menangani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masalah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       </w:t>
            </w:r>
            <w:r w:rsidRPr="009C48BC">
              <w:rPr>
                <w:rFonts w:ascii="Bookman Old Style" w:eastAsia="Verdana" w:hAnsi="Bookman Old Style" w:cs="Verdana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memelih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ra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lingkung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kemampu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mengad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pengetahu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3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4.3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ev</w:t>
            </w:r>
            <w:r w:rsidRPr="009C48BC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luasi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tim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asesor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diputuskan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-135"/>
              </w:tabs>
              <w:spacing w:before="40" w:after="40" w:line="276" w:lineRule="auto"/>
              <w:ind w:left="459" w:hanging="459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7.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Mem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spacing w:line="276" w:lineRule="auto"/>
              <w:ind w:left="102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5.1 </w:t>
            </w:r>
            <w:r w:rsidRPr="009C48BC">
              <w:rPr>
                <w:rFonts w:ascii="Bookman Old Style" w:eastAsia="Verdana" w:hAnsi="Bookman Old Style" w:cs="Verdana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spacing w:line="276" w:lineRule="auto"/>
              <w:ind w:left="756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akurat</w:t>
            </w:r>
            <w:proofErr w:type="spellEnd"/>
          </w:p>
          <w:p w:rsidR="00575D6B" w:rsidRPr="009C48BC" w:rsidRDefault="00575D6B" w:rsidP="009C48BC">
            <w:pPr>
              <w:spacing w:line="276" w:lineRule="auto"/>
              <w:ind w:left="756" w:hanging="63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position w:val="1"/>
                <w:sz w:val="24"/>
                <w:szCs w:val="24"/>
              </w:rPr>
              <w:t xml:space="preserve">5.2 </w:t>
            </w:r>
            <w:r w:rsidRPr="009C48BC">
              <w:rPr>
                <w:rFonts w:ascii="Bookman Old Style" w:eastAsia="Verdana" w:hAnsi="Bookman Old Style" w:cs="Verdana"/>
                <w:spacing w:val="4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dij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ga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kerahasiannya</w:t>
            </w:r>
            <w:proofErr w:type="spellEnd"/>
          </w:p>
        </w:tc>
      </w:tr>
    </w:tbl>
    <w:p w:rsidR="00080B16" w:rsidRPr="009C48BC" w:rsidRDefault="00080B16" w:rsidP="009C48BC">
      <w:pPr>
        <w:spacing w:line="276" w:lineRule="auto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r w:rsidRPr="009C48BC">
        <w:rPr>
          <w:rFonts w:ascii="Bookman Old Style" w:hAnsi="Bookman Old Style" w:cs="Arial"/>
          <w:b/>
          <w:bCs/>
          <w:sz w:val="24"/>
          <w:szCs w:val="24"/>
        </w:rPr>
        <w:t>BATASAN VARIABEL</w:t>
      </w:r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Konteks </w:t>
      </w:r>
      <w:r w:rsidRPr="009C48BC">
        <w:rPr>
          <w:rFonts w:ascii="Bookman Old Style" w:hAnsi="Bookman Old Style"/>
          <w:sz w:val="24"/>
          <w:szCs w:val="24"/>
          <w:lang w:val="id-ID"/>
        </w:rPr>
        <w:t>V</w:t>
      </w:r>
      <w:r w:rsidR="000348E2" w:rsidRPr="009C48BC">
        <w:rPr>
          <w:rFonts w:ascii="Bookman Old Style" w:hAnsi="Bookman Old Style"/>
          <w:sz w:val="24"/>
          <w:szCs w:val="24"/>
          <w:lang w:val="sv-SE"/>
        </w:rPr>
        <w:t>ariab</w:t>
      </w:r>
      <w:r w:rsidRPr="009C48BC">
        <w:rPr>
          <w:rFonts w:ascii="Bookman Old Style" w:hAnsi="Bookman Old Style"/>
          <w:sz w:val="24"/>
          <w:szCs w:val="24"/>
          <w:lang w:val="sv-SE"/>
        </w:rPr>
        <w:t>e</w:t>
      </w:r>
      <w:r w:rsidR="000348E2" w:rsidRPr="009C48BC">
        <w:rPr>
          <w:rFonts w:ascii="Bookman Old Style" w:hAnsi="Bookman Old Style"/>
          <w:sz w:val="24"/>
          <w:szCs w:val="24"/>
          <w:lang w:val="sv-SE"/>
        </w:rPr>
        <w:t>l</w:t>
      </w:r>
    </w:p>
    <w:p w:rsidR="00080B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Sistem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80B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Alat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Kesesuaian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calon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</w:t>
      </w:r>
      <w:r w:rsidRPr="009C48BC">
        <w:rPr>
          <w:rFonts w:ascii="Bookman Old Style" w:eastAsia="Verdana" w:hAnsi="Bookman Old Style" w:cs="Verdana"/>
          <w:spacing w:val="-2"/>
          <w:sz w:val="24"/>
          <w:szCs w:val="24"/>
        </w:rPr>
        <w:t>s</w:t>
      </w:r>
      <w:r w:rsidRPr="009C48BC">
        <w:rPr>
          <w:rFonts w:ascii="Bookman Old Style" w:eastAsia="Verdana" w:hAnsi="Bookman Old Style" w:cs="Verdana"/>
          <w:sz w:val="24"/>
          <w:szCs w:val="24"/>
        </w:rPr>
        <w:t>esor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pacing w:val="2"/>
          <w:sz w:val="24"/>
          <w:szCs w:val="24"/>
        </w:rPr>
        <w:t>d</w:t>
      </w:r>
      <w:r w:rsidRPr="009C48BC">
        <w:rPr>
          <w:rFonts w:ascii="Bookman Old Style" w:eastAsia="Verdana" w:hAnsi="Bookman Old Style" w:cs="Verdana"/>
          <w:sz w:val="24"/>
          <w:szCs w:val="24"/>
        </w:rPr>
        <w:t>engan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fungsional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tekn</w:t>
      </w:r>
      <w:r w:rsidRPr="009C48BC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9C48BC">
        <w:rPr>
          <w:rFonts w:ascii="Bookman Old Style" w:eastAsia="Verdana" w:hAnsi="Bookman Old Style" w:cs="Verdana"/>
          <w:sz w:val="24"/>
          <w:szCs w:val="24"/>
        </w:rPr>
        <w:t>s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(Unit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>)</w:t>
      </w:r>
    </w:p>
    <w:p w:rsidR="00025D16" w:rsidRPr="009C48BC" w:rsidRDefault="00575D6B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i/>
          <w:sz w:val="24"/>
          <w:szCs w:val="24"/>
        </w:rPr>
        <w:t>Cek</w:t>
      </w:r>
      <w:proofErr w:type="spellEnd"/>
      <w:r w:rsidRPr="009C48BC">
        <w:rPr>
          <w:rFonts w:ascii="Bookman Old Style" w:eastAsia="Verdana" w:hAnsi="Bookman Old Style" w:cs="Verdana"/>
          <w:i/>
          <w:sz w:val="24"/>
          <w:szCs w:val="24"/>
        </w:rPr>
        <w:t>-list</w:t>
      </w:r>
      <w:r w:rsidR="00025D16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usaha</w:t>
      </w:r>
      <w:proofErr w:type="spellEnd"/>
      <w:r w:rsidR="00025D16" w:rsidRPr="009C48BC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="00025D16" w:rsidRPr="009C48BC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eastAsia="Verdana" w:hAnsi="Bookman Old Style" w:cs="Verdana"/>
          <w:i/>
          <w:sz w:val="24"/>
          <w:szCs w:val="24"/>
        </w:rPr>
        <w:t>Log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9C48BC">
        <w:rPr>
          <w:rFonts w:ascii="Bookman Old Style" w:eastAsia="Verdana" w:hAnsi="Bookman Old Style" w:cs="Verdana"/>
          <w:i/>
          <w:spacing w:val="4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atau</w:t>
      </w:r>
      <w:proofErr w:type="spellEnd"/>
      <w:r w:rsidRPr="009C48BC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report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usah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9C48BC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9C48BC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sz w:val="24"/>
          <w:szCs w:val="24"/>
        </w:rPr>
        <w:t xml:space="preserve">instrument yang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terkait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dengan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pelaksanaan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asesor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usaha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Tempat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Peraturan Yang Diperlukan</w:t>
      </w:r>
    </w:p>
    <w:p w:rsidR="00DD486F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Undang-Undang 30 Tahun 2009 tentang Ketenagalistrikan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 w:cs="Arial"/>
          <w:sz w:val="24"/>
          <w:szCs w:val="24"/>
        </w:rPr>
        <w:t xml:space="preserve">PP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62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Listrik;</w:t>
      </w:r>
      <w:proofErr w:type="spellEnd"/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35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2013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Tata Cara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12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2016;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05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tatacara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akreditasi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10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2016;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28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Kualifikasi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Listrik;</w:t>
      </w:r>
      <w:proofErr w:type="spellEnd"/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Energi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Daya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Mineral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2339 K/20/MEM/2014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Pelimpahan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Sebagian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Wewenang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Daya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Mineral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Pemberian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Bidang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Ketenagalistrikan;</w:t>
      </w:r>
      <w:proofErr w:type="spellEnd"/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No: 168 K/73/DJL4/2016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Perubahan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Kedua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365 K/20/DJL.1/2014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Panitia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Akreditasi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</w:p>
    <w:p w:rsidR="007D08D0" w:rsidRPr="009C48BC" w:rsidRDefault="007D08D0" w:rsidP="009C48BC">
      <w:pPr>
        <w:spacing w:line="276" w:lineRule="auto"/>
        <w:ind w:left="156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pStyle w:val="ListParagraph"/>
        <w:numPr>
          <w:ilvl w:val="0"/>
          <w:numId w:val="1"/>
        </w:numPr>
        <w:ind w:hanging="30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Norma dan </w:t>
      </w:r>
      <w:r w:rsidRPr="009C48BC">
        <w:rPr>
          <w:rFonts w:ascii="Bookman Old Style" w:hAnsi="Bookman Old Style"/>
          <w:sz w:val="24"/>
          <w:szCs w:val="24"/>
          <w:lang w:val="id-ID"/>
        </w:rPr>
        <w:t>S</w:t>
      </w:r>
      <w:r w:rsidRPr="009C48BC">
        <w:rPr>
          <w:rFonts w:ascii="Bookman Old Style" w:hAnsi="Bookman Old Style"/>
          <w:sz w:val="24"/>
          <w:szCs w:val="24"/>
          <w:lang w:val="sv-SE"/>
        </w:rPr>
        <w:t>tandar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Norma</w:t>
      </w:r>
    </w:p>
    <w:p w:rsidR="00080B16" w:rsidRPr="009C48BC" w:rsidRDefault="008D4613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Kode Etik Asesor </w:t>
      </w:r>
    </w:p>
    <w:p w:rsidR="00080B16" w:rsidRPr="009C48BC" w:rsidRDefault="008D4613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Skema uji kompetensi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Standar</w:t>
      </w:r>
    </w:p>
    <w:p w:rsidR="007D08D0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Akta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pendirian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perubahannya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);</w:t>
      </w:r>
    </w:p>
    <w:p w:rsidR="00596607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Penetapan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sebagai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hukum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oleh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Kemenkumham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perubahannya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); </w:t>
      </w:r>
    </w:p>
    <w:p w:rsidR="00596607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Pokok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Wajib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Pajak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(NPWP)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7D08D0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Izin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(IUJPTL)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atau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Gubernur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kewenangannya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.</w:t>
      </w:r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Peralatan dan </w:t>
      </w:r>
      <w:r w:rsidRPr="009C48BC">
        <w:rPr>
          <w:rFonts w:ascii="Bookman Old Style" w:hAnsi="Bookman Old Style"/>
          <w:sz w:val="24"/>
          <w:szCs w:val="24"/>
          <w:lang w:val="id-ID"/>
        </w:rPr>
        <w:t>P</w:t>
      </w:r>
      <w:r w:rsidRPr="009C48BC">
        <w:rPr>
          <w:rFonts w:ascii="Bookman Old Style" w:hAnsi="Bookman Old Style"/>
          <w:sz w:val="24"/>
          <w:szCs w:val="24"/>
          <w:lang w:val="sv-SE"/>
        </w:rPr>
        <w:t>erlengkapan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Peralatan</w:t>
      </w:r>
    </w:p>
    <w:p w:rsidR="00080B16" w:rsidRPr="009C48BC" w:rsidRDefault="00FF04EF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Sarana dan prasarana uji kompetensi</w:t>
      </w:r>
    </w:p>
    <w:p w:rsidR="00080B16" w:rsidRPr="009C48BC" w:rsidRDefault="00FF04EF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Dokumen pendukung uji kompetensi</w:t>
      </w:r>
    </w:p>
    <w:p w:rsidR="00596607" w:rsidRPr="009C48BC" w:rsidRDefault="00596607" w:rsidP="009C48BC">
      <w:pPr>
        <w:spacing w:line="276" w:lineRule="auto"/>
        <w:ind w:left="2410"/>
        <w:jc w:val="both"/>
        <w:rPr>
          <w:rFonts w:ascii="Bookman Old Style" w:hAnsi="Bookman Old Style"/>
          <w:sz w:val="24"/>
          <w:szCs w:val="24"/>
          <w:lang w:val="sv-SE"/>
        </w:rPr>
      </w:pPr>
      <w:bookmarkStart w:id="2" w:name="_GoBack"/>
      <w:bookmarkEnd w:id="2"/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Perlengkapan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Struktur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organisasi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lembaga;</w:t>
      </w:r>
      <w:proofErr w:type="spellEnd"/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Surat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pernyataan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komitmen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manajemen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puncak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menjaga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ketidakberpihakan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dalam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pengoperasian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LSBU;</w:t>
      </w:r>
      <w:proofErr w:type="spellEnd"/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paling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sedikit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1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satu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kantor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wilayah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masing-masing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berada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Indonesia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bagian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tengah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timur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lingkup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akreditasinya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jenis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konsultansi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pemeriksaan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pengujian,pengoperasian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pemeliharaan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atau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teknik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ketenagalistrikan;</w:t>
      </w:r>
      <w:proofErr w:type="spellEnd"/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kantor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wilayah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paling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sedikit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2/3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dua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per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jumlah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provinsi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Indonesia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tersebar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merata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bagian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tengah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timur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lingkup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akreditasinya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jenis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pembangunan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pemasangan;</w:t>
      </w:r>
      <w:proofErr w:type="spellEnd"/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Penanggung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jawab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Auditor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;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Auditor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kompetensi;</w:t>
      </w:r>
      <w:proofErr w:type="spellEnd"/>
    </w:p>
    <w:p w:rsid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Dokumen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manajemen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mutu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SNI ISO 9001 series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informasi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terintegrasi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system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informasi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DJK;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Pedoman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pelaksanaan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Usaha.</w:t>
      </w:r>
    </w:p>
    <w:p w:rsidR="00FF04EF" w:rsidRPr="009C48BC" w:rsidRDefault="00FF04EF" w:rsidP="009C48BC">
      <w:pPr>
        <w:spacing w:line="276" w:lineRule="auto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  <w:r w:rsidRPr="009C48BC">
        <w:rPr>
          <w:rFonts w:ascii="Bookman Old Style" w:hAnsi="Bookman Old Style" w:cs="Arial"/>
          <w:b/>
          <w:bCs/>
          <w:sz w:val="24"/>
          <w:szCs w:val="24"/>
        </w:rPr>
        <w:t>PANDUAN PENILAIAN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Konteks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P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enilaian</w:t>
      </w:r>
      <w:proofErr w:type="spellEnd"/>
    </w:p>
    <w:p w:rsidR="00080B16" w:rsidRPr="009C48BC" w:rsidRDefault="004A5050" w:rsidP="009C48BC">
      <w:pPr>
        <w:spacing w:line="276" w:lineRule="auto"/>
        <w:ind w:left="993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Memiliki sertifikat pelatihan asesor </w:t>
      </w:r>
      <w:r w:rsidR="00596607" w:rsidRPr="009C48BC">
        <w:rPr>
          <w:rFonts w:ascii="Bookman Old Style" w:hAnsi="Bookman Old Style"/>
          <w:sz w:val="24"/>
          <w:szCs w:val="24"/>
          <w:lang w:val="sv-SE"/>
        </w:rPr>
        <w:t xml:space="preserve">Badan Usaha </w:t>
      </w:r>
      <w:r w:rsidRPr="009C48BC">
        <w:rPr>
          <w:rFonts w:ascii="Bookman Old Style" w:hAnsi="Bookman Old Style"/>
          <w:sz w:val="24"/>
          <w:szCs w:val="24"/>
          <w:lang w:val="sv-SE"/>
        </w:rPr>
        <w:t>ketenagalistrikan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Persyaratan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K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ompetensi</w:t>
      </w:r>
      <w:proofErr w:type="spellEnd"/>
    </w:p>
    <w:p w:rsidR="00080B16" w:rsidRPr="009C48BC" w:rsidRDefault="009C48B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</w:p>
    <w:p w:rsidR="00D8023E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Regulasi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080B16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e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rampilan</w:t>
      </w:r>
      <w:proofErr w:type="spellEnd"/>
    </w:p>
    <w:p w:rsidR="00080B16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Melaksanakan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asas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penggunaan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Kode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Etik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Aspek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Penting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Kesesuaian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rujukan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cek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-list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diyakini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keabsahannya</w:t>
      </w:r>
      <w:proofErr w:type="spellEnd"/>
    </w:p>
    <w:p w:rsidR="0074643C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mandiri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2F3D13" w:rsidRPr="009C48BC" w:rsidRDefault="002F3D13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96607" w:rsidRPr="009C48BC" w:rsidRDefault="00596607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96607" w:rsidRPr="009C48BC" w:rsidRDefault="00596607" w:rsidP="009C48BC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9C48BC">
        <w:rPr>
          <w:rFonts w:ascii="Bookman Old Style" w:hAnsi="Bookman Old Style"/>
          <w:sz w:val="24"/>
          <w:szCs w:val="24"/>
        </w:rPr>
        <w:t>Catatan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pengetahuan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yg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dibutuhkan</w:t>
      </w:r>
      <w:proofErr w:type="spellEnd"/>
      <w:r w:rsidR="009C48BC" w:rsidRPr="009C48BC">
        <w:rPr>
          <w:rFonts w:ascii="Bookman Old Style" w:hAnsi="Bookman Old Style"/>
          <w:sz w:val="24"/>
          <w:szCs w:val="24"/>
        </w:rPr>
        <w:t>:</w:t>
      </w:r>
    </w:p>
    <w:p w:rsidR="009C48BC" w:rsidRPr="009C48BC" w:rsidRDefault="009C48BC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tbl>
      <w:tblPr>
        <w:tblW w:w="8025" w:type="dxa"/>
        <w:tblInd w:w="93" w:type="dxa"/>
        <w:tblLook w:val="04A0" w:firstRow="1" w:lastRow="0" w:firstColumn="1" w:lastColumn="0" w:noHBand="0" w:noVBand="1"/>
      </w:tblPr>
      <w:tblGrid>
        <w:gridCol w:w="8025"/>
      </w:tblGrid>
      <w:tr w:rsidR="009C48BC" w:rsidRPr="009C48BC" w:rsidTr="009C48BC">
        <w:trPr>
          <w:trHeight w:val="300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Regulasi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Ketenagalistrikan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2. Manual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mutu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DJK 1K110 (ISO 7024) / ISO SNI 9001</w:t>
            </w:r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Asesor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Usaha</w:t>
            </w:r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Tenaga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Teknik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Latih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usaha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Sistem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asesor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usaha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Menguji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tenaga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teknik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usaha</w:t>
            </w:r>
            <w:proofErr w:type="spellEnd"/>
          </w:p>
        </w:tc>
      </w:tr>
    </w:tbl>
    <w:p w:rsidR="009C48BC" w:rsidRPr="009C48BC" w:rsidRDefault="009C48BC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sectPr w:rsidR="009C48BC" w:rsidRPr="009C48BC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038A"/>
    <w:multiLevelType w:val="hybridMultilevel"/>
    <w:tmpl w:val="E57EC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7F64F95"/>
    <w:multiLevelType w:val="hybridMultilevel"/>
    <w:tmpl w:val="97E0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F712DE2"/>
    <w:multiLevelType w:val="multilevel"/>
    <w:tmpl w:val="B2281F02"/>
    <w:lvl w:ilvl="0">
      <w:start w:val="1"/>
      <w:numFmt w:val="decimal"/>
      <w:lvlText w:val="%1."/>
      <w:lvlJc w:val="left"/>
      <w:pPr>
        <w:ind w:left="480" w:hanging="480"/>
      </w:pPr>
      <w:rPr>
        <w:rFonts w:ascii="Bookman Old Style" w:eastAsia="Times New Roman" w:hAnsi="Bookman Old Style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63012AB"/>
    <w:multiLevelType w:val="hybridMultilevel"/>
    <w:tmpl w:val="C42C5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25D16"/>
    <w:rsid w:val="000348E2"/>
    <w:rsid w:val="00080B16"/>
    <w:rsid w:val="00152F52"/>
    <w:rsid w:val="001625FB"/>
    <w:rsid w:val="001C1C0E"/>
    <w:rsid w:val="002420B2"/>
    <w:rsid w:val="002F3D13"/>
    <w:rsid w:val="00407A0A"/>
    <w:rsid w:val="004A5050"/>
    <w:rsid w:val="00575D6B"/>
    <w:rsid w:val="00581582"/>
    <w:rsid w:val="00596607"/>
    <w:rsid w:val="0060463B"/>
    <w:rsid w:val="00606953"/>
    <w:rsid w:val="0074643C"/>
    <w:rsid w:val="007D08D0"/>
    <w:rsid w:val="00857B1D"/>
    <w:rsid w:val="008D4613"/>
    <w:rsid w:val="008D4B48"/>
    <w:rsid w:val="00950B76"/>
    <w:rsid w:val="00960723"/>
    <w:rsid w:val="009C48BC"/>
    <w:rsid w:val="009E0E9E"/>
    <w:rsid w:val="00A72D37"/>
    <w:rsid w:val="00AB0225"/>
    <w:rsid w:val="00AB7055"/>
    <w:rsid w:val="00AC6EF8"/>
    <w:rsid w:val="00BA4D10"/>
    <w:rsid w:val="00D8023E"/>
    <w:rsid w:val="00DA6F42"/>
    <w:rsid w:val="00DD486F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Hp</cp:lastModifiedBy>
  <cp:revision>3</cp:revision>
  <dcterms:created xsi:type="dcterms:W3CDTF">2017-04-18T13:53:00Z</dcterms:created>
  <dcterms:modified xsi:type="dcterms:W3CDTF">2017-04-18T15:13:00Z</dcterms:modified>
</cp:coreProperties>
</file>