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MADYA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9E17D2">
        <w:rPr>
          <w:rFonts w:ascii="Bookman Old Style" w:hAnsi="Bookman Old Style"/>
          <w:b/>
          <w:sz w:val="24"/>
          <w:szCs w:val="24"/>
          <w:lang w:val="sv-SE"/>
        </w:rPr>
        <w:t>EMBANGKITAN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C62980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C62980">
        <w:rPr>
          <w:rFonts w:ascii="Bookman Old Style" w:hAnsi="Bookman Old Style"/>
          <w:sz w:val="24"/>
          <w:szCs w:val="24"/>
          <w:lang w:val="sv-SE"/>
        </w:rPr>
        <w:t>M</w:t>
      </w:r>
      <w:r w:rsidR="002420B2" w:rsidRPr="00C62980">
        <w:rPr>
          <w:rFonts w:ascii="Bookman Old Style" w:hAnsi="Bookman Old Style"/>
          <w:sz w:val="24"/>
          <w:szCs w:val="24"/>
          <w:lang w:val="sv-SE"/>
        </w:rPr>
        <w:t>elaksanakan ases</w:t>
      </w:r>
      <w:r w:rsidRPr="00C62980">
        <w:rPr>
          <w:rFonts w:ascii="Bookman Old Style" w:hAnsi="Bookman Old Style"/>
          <w:sz w:val="24"/>
          <w:szCs w:val="24"/>
          <w:lang w:val="sv-SE"/>
        </w:rPr>
        <w:t>men terhadap</w:t>
      </w:r>
      <w:r w:rsidR="000348E2" w:rsidRPr="00C62980">
        <w:rPr>
          <w:rFonts w:ascii="Bookman Old Style" w:hAnsi="Bookman Old Style"/>
          <w:sz w:val="24"/>
          <w:szCs w:val="24"/>
          <w:lang w:val="sv-SE"/>
        </w:rPr>
        <w:t xml:space="preserve"> asesor </w:t>
      </w:r>
      <w:r w:rsidR="00EB45F1" w:rsidRPr="00C62980">
        <w:rPr>
          <w:rFonts w:ascii="Bookman Old Style" w:hAnsi="Bookman Old Style"/>
          <w:sz w:val="24"/>
          <w:szCs w:val="24"/>
          <w:lang w:val="sv-SE"/>
        </w:rPr>
        <w:t xml:space="preserve">muda dan </w:t>
      </w:r>
      <w:r w:rsidRPr="00C62980">
        <w:rPr>
          <w:rFonts w:ascii="Bookman Old Style" w:hAnsi="Bookman Old Style"/>
          <w:sz w:val="24"/>
          <w:szCs w:val="24"/>
          <w:lang w:val="sv-SE"/>
        </w:rPr>
        <w:t xml:space="preserve">tenaga teknik </w:t>
      </w:r>
      <w:r w:rsidR="00EB45F1" w:rsidRPr="00C62980">
        <w:rPr>
          <w:rFonts w:ascii="Bookman Old Style" w:hAnsi="Bookman Old Style"/>
          <w:sz w:val="24"/>
          <w:szCs w:val="24"/>
          <w:lang w:val="sv-SE"/>
        </w:rPr>
        <w:t xml:space="preserve">ketenagalsitikan </w:t>
      </w:r>
      <w:r w:rsidRPr="00C62980">
        <w:rPr>
          <w:rFonts w:ascii="Bookman Old Style" w:hAnsi="Bookman Old Style"/>
          <w:sz w:val="24"/>
          <w:szCs w:val="24"/>
          <w:lang w:val="sv-SE"/>
        </w:rPr>
        <w:t xml:space="preserve">bidang </w:t>
      </w:r>
      <w:r w:rsidR="009E17D2" w:rsidRPr="00C62980">
        <w:rPr>
          <w:rFonts w:ascii="Bookman Old Style" w:hAnsi="Bookman Old Style"/>
          <w:sz w:val="24"/>
          <w:szCs w:val="24"/>
          <w:lang w:val="sv-SE"/>
        </w:rPr>
        <w:t>pembangkitan</w:t>
      </w:r>
      <w:r w:rsidRPr="00C62980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DC4101" w:rsidRPr="00C62980">
        <w:rPr>
          <w:rFonts w:ascii="Bookman Old Style" w:hAnsi="Bookman Old Style"/>
          <w:sz w:val="24"/>
          <w:szCs w:val="24"/>
          <w:lang w:val="sv-SE"/>
        </w:rPr>
        <w:t>tenaga listrik</w:t>
      </w:r>
    </w:p>
    <w:p w:rsidR="00080B16" w:rsidRPr="00B4334E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trike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AA6543">
        <w:rPr>
          <w:rStyle w:val="Style2Char"/>
          <w:rFonts w:ascii="Bookman Old Style" w:eastAsia="Calibri" w:hAnsi="Bookman Old Style"/>
          <w:b w:val="0"/>
          <w:szCs w:val="24"/>
        </w:rPr>
        <w:t xml:space="preserve">uji kompetensi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</w:t>
      </w:r>
      <w:r w:rsidR="00306921">
        <w:rPr>
          <w:rStyle w:val="Style2Char"/>
          <w:rFonts w:ascii="Bookman Old Style" w:eastAsia="Calibri" w:hAnsi="Bookman Old Style"/>
          <w:b w:val="0"/>
          <w:szCs w:val="24"/>
        </w:rPr>
        <w:t xml:space="preserve">calon asesor muda dan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tenaga teknik</w:t>
      </w:r>
      <w:r w:rsidR="008D1AEE">
        <w:rPr>
          <w:rStyle w:val="Style2Char"/>
          <w:rFonts w:ascii="Bookman Old Style" w:eastAsia="Calibri" w:hAnsi="Bookman Old Style"/>
          <w:b w:val="0"/>
          <w:szCs w:val="24"/>
        </w:rPr>
        <w:t xml:space="preserve"> ketenagalistrikan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</w:t>
      </w:r>
      <w:r w:rsidR="00B4334E">
        <w:rPr>
          <w:rStyle w:val="Style2Char"/>
          <w:rFonts w:ascii="Bookman Old Style" w:eastAsia="Calibri" w:hAnsi="Bookman Old Style"/>
          <w:b w:val="0"/>
          <w:szCs w:val="24"/>
        </w:rPr>
        <w:t xml:space="preserve">sesuai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Standar Kompetensi </w:t>
      </w:r>
      <w:r w:rsidR="00B4334E">
        <w:rPr>
          <w:rStyle w:val="Style2Char"/>
          <w:rFonts w:ascii="Bookman Old Style" w:eastAsia="Calibri" w:hAnsi="Bookman Old Style"/>
          <w:b w:val="0"/>
          <w:szCs w:val="24"/>
        </w:rPr>
        <w:t xml:space="preserve">yang berlaku </w:t>
      </w:r>
    </w:p>
    <w:tbl>
      <w:tblPr>
        <w:tblW w:w="83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820"/>
      </w:tblGrid>
      <w:tr w:rsidR="00C62980" w:rsidRPr="002273A1" w:rsidTr="00C62980">
        <w:trPr>
          <w:tblHeader/>
        </w:trPr>
        <w:tc>
          <w:tcPr>
            <w:tcW w:w="3573" w:type="dxa"/>
            <w:shd w:val="clear" w:color="auto" w:fill="F2F2F2"/>
            <w:vAlign w:val="center"/>
          </w:tcPr>
          <w:p w:rsidR="00C62980" w:rsidRPr="002273A1" w:rsidRDefault="00C62980" w:rsidP="007A1230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C62980" w:rsidRPr="002273A1" w:rsidRDefault="00C62980" w:rsidP="007A1230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C62980" w:rsidRPr="002273A1" w:rsidTr="00C62980">
        <w:tc>
          <w:tcPr>
            <w:tcW w:w="3573" w:type="dxa"/>
            <w:shd w:val="clear" w:color="auto" w:fill="auto"/>
          </w:tcPr>
          <w:p w:rsidR="00C62980" w:rsidRPr="002273A1" w:rsidRDefault="00C62980" w:rsidP="007A1230">
            <w:pPr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Merencanakan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62980" w:rsidRPr="002273A1" w:rsidRDefault="00C62980" w:rsidP="00C6298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perundangan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berkaitan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keselamatan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ketenagalistrikan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diberlakukan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Lingkup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diverifikasi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dipelajari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C62980" w:rsidRPr="002273A1" w:rsidTr="00C62980">
        <w:tc>
          <w:tcPr>
            <w:tcW w:w="3573" w:type="dxa"/>
            <w:shd w:val="clear" w:color="auto" w:fill="auto"/>
          </w:tcPr>
          <w:p w:rsidR="00C62980" w:rsidRPr="002273A1" w:rsidRDefault="00C62980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Menyiapkan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C62980" w:rsidRPr="002273A1" w:rsidRDefault="00C62980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62980" w:rsidRPr="002273A1" w:rsidRDefault="00C62980" w:rsidP="00C6298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kebutuhan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C62980" w:rsidRPr="002273A1" w:rsidRDefault="00C62980" w:rsidP="00C6298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diterapkan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standard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standard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proofErr w:type="gram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.</w:t>
            </w:r>
          </w:p>
          <w:p w:rsidR="00C62980" w:rsidRPr="002273A1" w:rsidRDefault="00C62980" w:rsidP="00C6298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.</w:t>
            </w:r>
          </w:p>
          <w:p w:rsidR="00C62980" w:rsidRPr="002273A1" w:rsidRDefault="00C62980" w:rsidP="00C6298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proofErr w:type="gram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(APD, data, SOP,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. </w:t>
            </w:r>
          </w:p>
          <w:p w:rsidR="00C62980" w:rsidRPr="002273A1" w:rsidRDefault="00C62980" w:rsidP="00C62980">
            <w:pPr>
              <w:pStyle w:val="ListParagraph"/>
              <w:numPr>
                <w:ilvl w:val="0"/>
                <w:numId w:val="4"/>
              </w:numPr>
              <w:ind w:left="612" w:hanging="61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Tempat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dipersiapkan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keperluan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asesmen</w:t>
            </w:r>
            <w:proofErr w:type="spellEnd"/>
          </w:p>
          <w:p w:rsidR="00C62980" w:rsidRPr="002273A1" w:rsidRDefault="00C62980" w:rsidP="007A1230">
            <w:pPr>
              <w:spacing w:before="40" w:after="40"/>
              <w:ind w:left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C62980" w:rsidRPr="002273A1" w:rsidTr="00C62980">
        <w:tc>
          <w:tcPr>
            <w:tcW w:w="3573" w:type="dxa"/>
            <w:shd w:val="clear" w:color="auto" w:fill="auto"/>
          </w:tcPr>
          <w:p w:rsidR="00C62980" w:rsidRPr="002273A1" w:rsidRDefault="00C62980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62980" w:rsidRPr="002273A1" w:rsidRDefault="00C62980" w:rsidP="00C6298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Tahapan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keompetensi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dilaksanakan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alat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keselamatan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C62980" w:rsidRPr="00C62980" w:rsidRDefault="00C62980" w:rsidP="00C6298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Menanggulangi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timbul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C62980" w:rsidRPr="002273A1" w:rsidTr="00C62980">
        <w:tc>
          <w:tcPr>
            <w:tcW w:w="3573" w:type="dxa"/>
            <w:shd w:val="clear" w:color="auto" w:fill="auto"/>
          </w:tcPr>
          <w:p w:rsidR="00C62980" w:rsidRPr="002273A1" w:rsidRDefault="00C62980" w:rsidP="007A1230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2273A1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C62980" w:rsidRPr="002273A1" w:rsidRDefault="00C62980" w:rsidP="00C6298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2273A1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meliputi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  <w:proofErr w:type="gram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Ketrampilan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Sikap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. </w:t>
            </w:r>
          </w:p>
          <w:p w:rsidR="00C62980" w:rsidRPr="002273A1" w:rsidRDefault="00C62980" w:rsidP="00C6298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sebagai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bahan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  <w:tr w:rsidR="00C62980" w:rsidRPr="002273A1" w:rsidTr="00C62980">
        <w:tc>
          <w:tcPr>
            <w:tcW w:w="3573" w:type="dxa"/>
            <w:shd w:val="clear" w:color="auto" w:fill="auto"/>
          </w:tcPr>
          <w:p w:rsidR="00C62980" w:rsidRPr="002273A1" w:rsidRDefault="00C62980" w:rsidP="007A1230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62980" w:rsidRPr="002273A1" w:rsidRDefault="00C62980" w:rsidP="00C62980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>nnya</w:t>
            </w:r>
          </w:p>
        </w:tc>
      </w:tr>
      <w:tr w:rsidR="00C62980" w:rsidRPr="002273A1" w:rsidTr="00C62980">
        <w:tc>
          <w:tcPr>
            <w:tcW w:w="3573" w:type="dxa"/>
            <w:shd w:val="clear" w:color="auto" w:fill="auto"/>
          </w:tcPr>
          <w:p w:rsidR="00C62980" w:rsidRPr="002273A1" w:rsidRDefault="00C62980" w:rsidP="007A1230">
            <w:pPr>
              <w:tabs>
                <w:tab w:val="left" w:pos="1980"/>
              </w:tabs>
              <w:spacing w:before="40" w:after="40"/>
              <w:ind w:left="405" w:hanging="40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 </w:t>
            </w:r>
            <w:proofErr w:type="spellStart"/>
            <w:r w:rsidRPr="002273A1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62980" w:rsidRPr="002273A1" w:rsidRDefault="00C62980" w:rsidP="00C6298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2273A1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2273A1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C62980" w:rsidRPr="002273A1" w:rsidTr="00C62980">
        <w:tc>
          <w:tcPr>
            <w:tcW w:w="3573" w:type="dxa"/>
            <w:shd w:val="clear" w:color="auto" w:fill="auto"/>
          </w:tcPr>
          <w:p w:rsidR="00C62980" w:rsidRPr="002273A1" w:rsidRDefault="00C62980" w:rsidP="007A1230">
            <w:pPr>
              <w:tabs>
                <w:tab w:val="left" w:pos="315"/>
                <w:tab w:val="left" w:pos="1980"/>
              </w:tabs>
              <w:spacing w:before="40" w:after="40"/>
              <w:ind w:left="315" w:hanging="31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C62980" w:rsidRPr="002273A1" w:rsidRDefault="00C62980" w:rsidP="00C62980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>usulan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2273A1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C62980" w:rsidRPr="002273A1" w:rsidRDefault="00C62980" w:rsidP="00C62980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C62980" w:rsidRDefault="00C62980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lastRenderedPageBreak/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2C1B05">
        <w:rPr>
          <w:rFonts w:ascii="Bookman Old Style" w:eastAsia="Verdana" w:hAnsi="Bookman Old Style" w:cs="Verdana"/>
          <w:i/>
          <w:sz w:val="24"/>
          <w:szCs w:val="24"/>
        </w:rPr>
        <w:t>calon</w:t>
      </w:r>
      <w:proofErr w:type="spellEnd"/>
      <w:r w:rsidRPr="002C1B05">
        <w:rPr>
          <w:rFonts w:ascii="Bookman Old Style" w:eastAsia="Verdana" w:hAnsi="Bookman Old Style" w:cs="Verdana"/>
          <w:i/>
          <w:spacing w:val="11"/>
          <w:sz w:val="24"/>
          <w:szCs w:val="24"/>
        </w:rPr>
        <w:t xml:space="preserve"> </w:t>
      </w:r>
      <w:proofErr w:type="spellStart"/>
      <w:r w:rsidRPr="002C1B05">
        <w:rPr>
          <w:rFonts w:ascii="Bookman Old Style" w:eastAsia="Verdana" w:hAnsi="Bookman Old Style" w:cs="Verdana"/>
          <w:i/>
          <w:sz w:val="24"/>
          <w:szCs w:val="24"/>
        </w:rPr>
        <w:t>a</w:t>
      </w:r>
      <w:r w:rsidRPr="002C1B05">
        <w:rPr>
          <w:rFonts w:ascii="Bookman Old Style" w:eastAsia="Verdana" w:hAnsi="Bookman Old Style" w:cs="Verdana"/>
          <w:i/>
          <w:spacing w:val="-2"/>
          <w:sz w:val="24"/>
          <w:szCs w:val="24"/>
        </w:rPr>
        <w:t>s</w:t>
      </w:r>
      <w:r w:rsidRPr="002C1B05">
        <w:rPr>
          <w:rFonts w:ascii="Bookman Old Style" w:eastAsia="Verdana" w:hAnsi="Bookman Old Style" w:cs="Verdana"/>
          <w:i/>
          <w:sz w:val="24"/>
          <w:szCs w:val="24"/>
        </w:rPr>
        <w:t>esor</w:t>
      </w:r>
      <w:proofErr w:type="spellEnd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 xml:space="preserve"> </w:t>
      </w:r>
      <w:proofErr w:type="spellStart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>dan</w:t>
      </w:r>
      <w:proofErr w:type="spellEnd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 xml:space="preserve"> </w:t>
      </w:r>
      <w:proofErr w:type="spellStart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>tenaga</w:t>
      </w:r>
      <w:proofErr w:type="spellEnd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 xml:space="preserve"> </w:t>
      </w:r>
      <w:proofErr w:type="spellStart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>teknik</w:t>
      </w:r>
      <w:proofErr w:type="spellEnd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 xml:space="preserve"> </w:t>
      </w:r>
      <w:proofErr w:type="spellStart"/>
      <w:r w:rsidR="002C1B05" w:rsidRPr="002C1B05">
        <w:rPr>
          <w:rFonts w:ascii="Bookman Old Style" w:eastAsia="Verdana" w:hAnsi="Bookman Old Style" w:cs="Verdana"/>
          <w:i/>
          <w:sz w:val="24"/>
          <w:szCs w:val="24"/>
        </w:rPr>
        <w:t>ketenagalistrikan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C1B05">
        <w:rPr>
          <w:rFonts w:ascii="Bookman Old Style" w:eastAsia="Verdana" w:hAnsi="Bookman Old Style" w:cs="Verdana"/>
          <w:sz w:val="24"/>
          <w:szCs w:val="24"/>
        </w:rPr>
        <w:t>Stand</w:t>
      </w:r>
      <w:r w:rsidRPr="002C1B05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2C1B05">
        <w:rPr>
          <w:rFonts w:ascii="Bookman Old Style" w:eastAsia="Verdana" w:hAnsi="Bookman Old Style" w:cs="Verdana"/>
          <w:sz w:val="24"/>
          <w:szCs w:val="24"/>
        </w:rPr>
        <w:t>ng</w:t>
      </w:r>
      <w:r w:rsidRPr="002C1B05">
        <w:rPr>
          <w:rFonts w:ascii="Bookman Old Style" w:eastAsia="Verdana" w:hAnsi="Bookman Old Style" w:cs="Verdana"/>
          <w:spacing w:val="77"/>
          <w:sz w:val="24"/>
          <w:szCs w:val="24"/>
        </w:rPr>
        <w:t xml:space="preserve"> </w:t>
      </w:r>
      <w:r w:rsidRPr="002C1B05">
        <w:rPr>
          <w:rFonts w:ascii="Bookman Old Style" w:eastAsia="Verdana" w:hAnsi="Bookman Old Style" w:cs="Verdana"/>
          <w:sz w:val="24"/>
          <w:szCs w:val="24"/>
        </w:rPr>
        <w:t>Operation</w:t>
      </w:r>
      <w:r w:rsidRPr="002C1B05">
        <w:rPr>
          <w:rFonts w:ascii="Bookman Old Style" w:eastAsia="Verdana" w:hAnsi="Bookman Old Style" w:cs="Verdana"/>
          <w:spacing w:val="77"/>
          <w:sz w:val="24"/>
          <w:szCs w:val="24"/>
        </w:rPr>
        <w:t xml:space="preserve"> </w:t>
      </w:r>
      <w:r w:rsidRPr="002C1B05">
        <w:rPr>
          <w:rFonts w:ascii="Bookman Old Style" w:eastAsia="Verdana" w:hAnsi="Bookman Old Style" w:cs="Verdana"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2C1B05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C1B05">
        <w:rPr>
          <w:rFonts w:ascii="Bookman Old Style" w:eastAsia="Verdana" w:hAnsi="Bookman Old Style" w:cs="Verdana"/>
          <w:sz w:val="24"/>
          <w:szCs w:val="24"/>
        </w:rPr>
        <w:t>Log</w:t>
      </w:r>
      <w:r w:rsidRPr="002C1B05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2C1B05">
        <w:rPr>
          <w:rFonts w:ascii="Bookman Old Style" w:eastAsia="Verdana" w:hAnsi="Bookman Old Style" w:cs="Verdana"/>
          <w:sz w:val="24"/>
          <w:szCs w:val="24"/>
        </w:rPr>
        <w:t>sheet</w:t>
      </w:r>
      <w:r w:rsidRPr="002C1B05">
        <w:rPr>
          <w:rFonts w:ascii="Bookman Old Style" w:eastAsia="Verdana" w:hAnsi="Bookman Old Style" w:cs="Verdana"/>
          <w:spacing w:val="40"/>
          <w:sz w:val="24"/>
          <w:szCs w:val="24"/>
        </w:rPr>
        <w:t xml:space="preserve"> </w:t>
      </w:r>
      <w:proofErr w:type="spellStart"/>
      <w:r w:rsidRPr="002C1B05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2C1B05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2C1B05">
        <w:rPr>
          <w:rFonts w:ascii="Bookman Old Style" w:eastAsia="Verdana" w:hAnsi="Bookman Old Style" w:cs="Verdana"/>
          <w:sz w:val="24"/>
          <w:szCs w:val="24"/>
        </w:rPr>
        <w:t>report</w:t>
      </w:r>
      <w:r w:rsidRPr="002C1B05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2C1B05">
        <w:rPr>
          <w:rFonts w:ascii="Bookman Old Style" w:eastAsia="Verdana" w:hAnsi="Bookman Old Style" w:cs="Verdana"/>
          <w:sz w:val="24"/>
          <w:szCs w:val="24"/>
        </w:rPr>
        <w:t>sheet</w:t>
      </w:r>
      <w:r w:rsidRPr="002C1B05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proofErr w:type="spellStart"/>
      <w:r w:rsidRPr="002C1B05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2C1B05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2C1B05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bookmarkStart w:id="2" w:name="_GoBack"/>
      <w:bookmarkEnd w:id="2"/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9322B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Perdirjen Listrik dan </w:t>
      </w:r>
      <w:r w:rsidRPr="0009322B">
        <w:rPr>
          <w:rFonts w:ascii="Bookman Old Style" w:hAnsi="Bookman Old Style"/>
          <w:sz w:val="24"/>
          <w:szCs w:val="24"/>
          <w:lang w:val="sv-SE"/>
        </w:rPr>
        <w:t>Pemanfaatan Energi 421 tahun 2007</w:t>
      </w:r>
      <w:r w:rsidR="00080B16" w:rsidRPr="0009322B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9322B">
        <w:rPr>
          <w:rFonts w:ascii="Bookman Old Style" w:hAnsi="Bookman Old Style"/>
          <w:sz w:val="24"/>
          <w:szCs w:val="24"/>
        </w:rPr>
        <w:t>tentang</w:t>
      </w:r>
      <w:proofErr w:type="spellEnd"/>
      <w:r w:rsidRPr="000932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322B">
        <w:rPr>
          <w:rFonts w:ascii="Bookman Old Style" w:hAnsi="Bookman Old Style"/>
          <w:sz w:val="24"/>
          <w:szCs w:val="24"/>
        </w:rPr>
        <w:t>Pengawasan</w:t>
      </w:r>
      <w:proofErr w:type="spellEnd"/>
      <w:r w:rsidRPr="000932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322B">
        <w:rPr>
          <w:rFonts w:ascii="Bookman Old Style" w:hAnsi="Bookman Old Style"/>
          <w:sz w:val="24"/>
          <w:szCs w:val="24"/>
        </w:rPr>
        <w:t>Uji</w:t>
      </w:r>
      <w:proofErr w:type="spellEnd"/>
      <w:r w:rsidRPr="000932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322B">
        <w:rPr>
          <w:rFonts w:ascii="Bookman Old Style" w:hAnsi="Bookman Old Style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lastRenderedPageBreak/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sekurang-kurangnya 6 (enam)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2C1B05" w:rsidRDefault="0009322B" w:rsidP="002C1B05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2C1B05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2C1B05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2C1B05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2C1B05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2C1B05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2C1B05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muda</w:t>
      </w:r>
      <w:proofErr w:type="spellEnd"/>
    </w:p>
    <w:p w:rsidR="002C1B05" w:rsidRPr="002C1B05" w:rsidRDefault="002C1B05" w:rsidP="002C1B05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2C1B05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2C1B05">
        <w:rPr>
          <w:rFonts w:ascii="Bookman Old Style" w:hAnsi="Bookman Old Style" w:cs="Arial"/>
          <w:bCs/>
          <w:sz w:val="24"/>
          <w:szCs w:val="24"/>
        </w:rPr>
        <w:t>ketramp</w:t>
      </w:r>
      <w:r>
        <w:rPr>
          <w:rFonts w:ascii="Bookman Old Style" w:hAnsi="Bookman Old Style" w:cs="Arial"/>
          <w:bCs/>
          <w:sz w:val="24"/>
          <w:szCs w:val="24"/>
        </w:rPr>
        <w:t>ilan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tenaga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taknik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  <w:r w:rsidR="00ED52A0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ED52A0">
        <w:rPr>
          <w:rFonts w:ascii="Bookman Old Style" w:hAnsi="Bookman Old Style" w:cs="Arial"/>
          <w:bCs/>
          <w:sz w:val="24"/>
          <w:szCs w:val="24"/>
        </w:rPr>
        <w:t>pembangkit</w:t>
      </w:r>
      <w:proofErr w:type="spellEnd"/>
    </w:p>
    <w:p w:rsidR="00080B16" w:rsidRPr="000348E2" w:rsidRDefault="00080B16" w:rsidP="00ED52A0">
      <w:pPr>
        <w:spacing w:line="360" w:lineRule="auto"/>
        <w:ind w:left="1560"/>
        <w:rPr>
          <w:rFonts w:ascii="Bookman Old Style" w:hAnsi="Bookman Old Style" w:cs="Arial"/>
          <w:bCs/>
          <w:sz w:val="24"/>
          <w:szCs w:val="24"/>
        </w:rPr>
      </w:pP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lastRenderedPageBreak/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945E6DE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75F2402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2B802998"/>
    <w:lvl w:ilvl="0" w:tplc="068C6178">
      <w:start w:val="1"/>
      <w:numFmt w:val="decimal"/>
      <w:lvlText w:val="4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09322B"/>
    <w:rsid w:val="00152F52"/>
    <w:rsid w:val="002420B2"/>
    <w:rsid w:val="002C1B05"/>
    <w:rsid w:val="002F3D13"/>
    <w:rsid w:val="00306921"/>
    <w:rsid w:val="00407A0A"/>
    <w:rsid w:val="00581582"/>
    <w:rsid w:val="0060463B"/>
    <w:rsid w:val="00606953"/>
    <w:rsid w:val="0074643C"/>
    <w:rsid w:val="00857B1D"/>
    <w:rsid w:val="008D1AEE"/>
    <w:rsid w:val="008D4613"/>
    <w:rsid w:val="008D4B48"/>
    <w:rsid w:val="00950B76"/>
    <w:rsid w:val="009E17D2"/>
    <w:rsid w:val="00AA6543"/>
    <w:rsid w:val="00AB0225"/>
    <w:rsid w:val="00AB7055"/>
    <w:rsid w:val="00AC6EF8"/>
    <w:rsid w:val="00B4334E"/>
    <w:rsid w:val="00BA4D10"/>
    <w:rsid w:val="00C007E2"/>
    <w:rsid w:val="00C62980"/>
    <w:rsid w:val="00D8023E"/>
    <w:rsid w:val="00D93403"/>
    <w:rsid w:val="00DA3171"/>
    <w:rsid w:val="00DA6F42"/>
    <w:rsid w:val="00DC4101"/>
    <w:rsid w:val="00E05151"/>
    <w:rsid w:val="00EB45F1"/>
    <w:rsid w:val="00ED46A4"/>
    <w:rsid w:val="00ED52A0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ASUS</cp:lastModifiedBy>
  <cp:revision>5</cp:revision>
  <dcterms:created xsi:type="dcterms:W3CDTF">2017-04-18T08:35:00Z</dcterms:created>
  <dcterms:modified xsi:type="dcterms:W3CDTF">2017-04-20T04:24:00Z</dcterms:modified>
</cp:coreProperties>
</file>