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PEMBANGKITAN</w:t>
      </w:r>
    </w:p>
    <w:p w:rsidR="002B0D72" w:rsidRPr="000348E2" w:rsidRDefault="002B0D7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2273A1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2273A1">
        <w:rPr>
          <w:rFonts w:ascii="Bookman Old Style" w:hAnsi="Bookman Old Style"/>
          <w:sz w:val="24"/>
          <w:szCs w:val="24"/>
          <w:lang w:val="sv-SE"/>
        </w:rPr>
        <w:t>M</w:t>
      </w:r>
      <w:r w:rsidR="002420B2" w:rsidRPr="002273A1">
        <w:rPr>
          <w:rFonts w:ascii="Bookman Old Style" w:hAnsi="Bookman Old Style"/>
          <w:sz w:val="24"/>
          <w:szCs w:val="24"/>
          <w:lang w:val="sv-SE"/>
        </w:rPr>
        <w:t>elaksanakan ases</w:t>
      </w:r>
      <w:r w:rsidRPr="002273A1">
        <w:rPr>
          <w:rFonts w:ascii="Bookman Old Style" w:hAnsi="Bookman Old Style"/>
          <w:sz w:val="24"/>
          <w:szCs w:val="24"/>
          <w:lang w:val="sv-SE"/>
        </w:rPr>
        <w:t>men terhadap</w:t>
      </w:r>
      <w:r w:rsidR="000348E2" w:rsidRPr="002273A1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D24819" w:rsidRPr="002273A1">
        <w:rPr>
          <w:rFonts w:ascii="Bookman Old Style" w:hAnsi="Bookman Old Style"/>
          <w:sz w:val="24"/>
          <w:szCs w:val="24"/>
          <w:lang w:val="sv-SE"/>
        </w:rPr>
        <w:t>Tenaga Teknik Ketenagalistrikan</w:t>
      </w:r>
      <w:r w:rsidRPr="002273A1">
        <w:rPr>
          <w:rFonts w:ascii="Bookman Old Style" w:hAnsi="Bookman Old Style"/>
          <w:sz w:val="24"/>
          <w:szCs w:val="24"/>
          <w:lang w:val="sv-SE"/>
        </w:rPr>
        <w:t xml:space="preserve"> bidang </w:t>
      </w:r>
      <w:r w:rsidR="00EB50D3" w:rsidRPr="002273A1">
        <w:rPr>
          <w:rFonts w:ascii="Bookman Old Style" w:hAnsi="Bookman Old Style"/>
          <w:sz w:val="24"/>
          <w:szCs w:val="24"/>
          <w:lang w:val="sv-SE"/>
        </w:rPr>
        <w:t>pembangkitan</w:t>
      </w:r>
      <w:r w:rsidR="009C03B5" w:rsidRPr="002273A1">
        <w:rPr>
          <w:rFonts w:ascii="Bookman Old Style" w:hAnsi="Bookman Old Style"/>
          <w:sz w:val="24"/>
          <w:szCs w:val="24"/>
          <w:lang w:val="sv-SE"/>
        </w:rPr>
        <w:t xml:space="preserve"> tenaga listrik</w:t>
      </w:r>
    </w:p>
    <w:p w:rsidR="00080B16" w:rsidRPr="002273A1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2273A1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2273A1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2273A1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2273A1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</w:t>
      </w:r>
      <w:r w:rsidR="00D24819" w:rsidRPr="002273A1">
        <w:rPr>
          <w:rFonts w:ascii="Bookman Old Style" w:hAnsi="Bookman Old Style"/>
          <w:sz w:val="24"/>
          <w:szCs w:val="24"/>
          <w:lang w:val="sv-SE"/>
        </w:rPr>
        <w:t>Tenaga Teknik Ketenagalistrikan bidang pembangkitan</w:t>
      </w:r>
      <w:r w:rsidR="00D24819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</w:t>
      </w:r>
      <w:r w:rsidR="00D24819">
        <w:rPr>
          <w:rStyle w:val="Style2Char"/>
          <w:rFonts w:ascii="Bookman Old Style" w:eastAsia="Calibri" w:hAnsi="Bookman Old Style"/>
          <w:b w:val="0"/>
          <w:szCs w:val="24"/>
        </w:rPr>
        <w:t xml:space="preserve">sesuai  standar </w:t>
      </w:r>
      <w:r w:rsidR="00D24819" w:rsidRPr="002273A1">
        <w:rPr>
          <w:rStyle w:val="Style2Char"/>
          <w:rFonts w:ascii="Bookman Old Style" w:eastAsia="Calibri" w:hAnsi="Bookman Old Style"/>
          <w:b w:val="0"/>
          <w:szCs w:val="24"/>
        </w:rPr>
        <w:t>yang berlaku</w:t>
      </w:r>
      <w:r w:rsidR="006B2F68" w:rsidRPr="002273A1">
        <w:rPr>
          <w:rStyle w:val="Style2Char"/>
          <w:rFonts w:ascii="Bookman Old Style" w:eastAsia="Calibri" w:hAnsi="Bookman Old Style"/>
          <w:b w:val="0"/>
          <w:szCs w:val="24"/>
        </w:rPr>
        <w:t>.</w:t>
      </w:r>
    </w:p>
    <w:tbl>
      <w:tblPr>
        <w:tblW w:w="8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20"/>
      </w:tblGrid>
      <w:tr w:rsidR="002273A1" w:rsidRPr="002273A1" w:rsidTr="00F977AC">
        <w:trPr>
          <w:tblHeader/>
        </w:trPr>
        <w:tc>
          <w:tcPr>
            <w:tcW w:w="3573" w:type="dxa"/>
            <w:shd w:val="clear" w:color="auto" w:fill="F2F2F2"/>
            <w:vAlign w:val="center"/>
          </w:tcPr>
          <w:p w:rsidR="00080B16" w:rsidRPr="002273A1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2273A1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080B16" w:rsidRPr="002273A1" w:rsidRDefault="00080B16" w:rsidP="002273A1">
            <w:pPr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Merencanakan</w:t>
            </w:r>
            <w:proofErr w:type="spellEnd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75365" w:rsidRPr="002273A1" w:rsidRDefault="00775365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perundangan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berkaitan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keselamatan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ketenagalistrikan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</w:p>
          <w:p w:rsidR="00080B16" w:rsidRPr="002273A1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F977AC" w:rsidRPr="002273A1">
              <w:rPr>
                <w:rFonts w:ascii="Bookman Old Style" w:hAnsi="Bookman Old Style" w:cs="Arial"/>
                <w:sz w:val="24"/>
                <w:szCs w:val="24"/>
              </w:rPr>
              <w:t>diberlakukan</w:t>
            </w:r>
            <w:proofErr w:type="spellEnd"/>
            <w:r w:rsidR="00F977AC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24819"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080B16" w:rsidRPr="002273A1" w:rsidRDefault="00775365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Lingkup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2273A1" w:rsidRDefault="00775365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</w:t>
            </w:r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esesuaian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diverifikasi</w:t>
            </w:r>
            <w:proofErr w:type="spellEnd"/>
          </w:p>
          <w:p w:rsidR="00DA6F42" w:rsidRPr="002273A1" w:rsidRDefault="00DA6F42" w:rsidP="002273A1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>dipelajari</w:t>
            </w:r>
            <w:proofErr w:type="spellEnd"/>
            <w:r w:rsidR="00775365"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080B16" w:rsidRPr="002273A1" w:rsidRDefault="00080B16" w:rsidP="00593DDA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775365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Menyiapkan</w:t>
            </w:r>
            <w:proofErr w:type="spellEnd"/>
            <w:r w:rsidR="00775365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775365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775365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775365" w:rsidRPr="002273A1" w:rsidRDefault="00775365" w:rsidP="00593DDA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80B16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kebutuhan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080B16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kompetensi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</w:p>
          <w:p w:rsidR="00080B16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standard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level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</w:p>
          <w:p w:rsidR="00DA6F42" w:rsidRPr="002273A1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standard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level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proofErr w:type="gram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diterapkan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DA6F42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.</w:t>
            </w:r>
          </w:p>
          <w:p w:rsidR="00DA6F42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2273A1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proofErr w:type="gram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</w:t>
            </w:r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APD,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data, SOP,</w:t>
            </w:r>
            <w:r w:rsidR="00593DDA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F977AC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486024" w:rsidRPr="002273A1" w:rsidRDefault="00486024" w:rsidP="00486024">
            <w:pPr>
              <w:pStyle w:val="ListParagraph"/>
              <w:numPr>
                <w:ilvl w:val="0"/>
                <w:numId w:val="4"/>
              </w:numPr>
              <w:ind w:left="612" w:hanging="612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Tempat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dipersiapkan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keperluan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asesmen</w:t>
            </w:r>
            <w:proofErr w:type="spellEnd"/>
          </w:p>
          <w:p w:rsidR="00486024" w:rsidRPr="002273A1" w:rsidRDefault="00486024" w:rsidP="00486024">
            <w:pPr>
              <w:spacing w:before="40" w:after="40"/>
              <w:ind w:left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080B16" w:rsidRPr="002273A1" w:rsidRDefault="00080B16" w:rsidP="00593DDA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2273A1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86024" w:rsidRPr="002273A1" w:rsidRDefault="00486024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Tahapan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keompetensi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dilaksanakan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</w:p>
          <w:p w:rsidR="00080B16" w:rsidRPr="002273A1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2273A1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alat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keselamatan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DA6F42" w:rsidRPr="002273A1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DA6F42" w:rsidRPr="002273A1" w:rsidRDefault="00DA6F42" w:rsidP="00F4331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4331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F4331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4331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F43312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080B16" w:rsidRPr="002273A1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2273A1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2273A1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2273A1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2273A1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2273A1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trike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meliputi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  <w:proofErr w:type="gram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Ketrampilan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Sikap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terhadap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. </w:t>
            </w:r>
          </w:p>
          <w:p w:rsidR="00080B16" w:rsidRPr="002273A1" w:rsidRDefault="0060463B" w:rsidP="002716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sebagai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bahan</w:t>
            </w:r>
            <w:proofErr w:type="spellEnd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844321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1062D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080B16" w:rsidRPr="002273A1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2273A1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2273A1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</w:t>
            </w:r>
            <w:r w:rsidR="00844321" w:rsidRPr="002273A1">
              <w:rPr>
                <w:rFonts w:ascii="Bookman Old Style" w:hAnsi="Bookman Old Style" w:cs="Arial"/>
                <w:sz w:val="24"/>
                <w:szCs w:val="24"/>
              </w:rPr>
              <w:t>a</w:t>
            </w:r>
            <w:r w:rsidRPr="002273A1">
              <w:rPr>
                <w:rFonts w:ascii="Bookman Old Style" w:hAnsi="Bookman Old Style" w:cs="Arial"/>
                <w:sz w:val="24"/>
                <w:szCs w:val="24"/>
                <w:lang w:val="id-ID"/>
              </w:rPr>
              <w:t>nnya</w:t>
            </w:r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950B76" w:rsidRPr="002273A1" w:rsidRDefault="00FF04EF" w:rsidP="00D3480B">
            <w:pPr>
              <w:tabs>
                <w:tab w:val="left" w:pos="1980"/>
              </w:tabs>
              <w:spacing w:before="40" w:after="40"/>
              <w:ind w:left="405" w:hanging="40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r w:rsidR="00D3480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2273A1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="00593DDA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="00593DDA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593DDA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="00593DDA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2273A1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2273A1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2273A1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2273A1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2273A1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2273A1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2273A1" w:rsidRPr="002273A1" w:rsidTr="00F977AC">
        <w:tc>
          <w:tcPr>
            <w:tcW w:w="3573" w:type="dxa"/>
            <w:shd w:val="clear" w:color="auto" w:fill="auto"/>
          </w:tcPr>
          <w:p w:rsidR="00950B76" w:rsidRPr="002273A1" w:rsidRDefault="000348E2" w:rsidP="00593DDA">
            <w:pPr>
              <w:tabs>
                <w:tab w:val="left" w:pos="315"/>
                <w:tab w:val="left" w:pos="1980"/>
              </w:tabs>
              <w:spacing w:before="40" w:after="40"/>
              <w:ind w:left="315" w:hanging="31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2273A1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2273A1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D3480B"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>usulan</w:t>
            </w:r>
            <w:proofErr w:type="spellEnd"/>
            <w:r w:rsidR="00D3480B" w:rsidRPr="002273A1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3480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3480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3480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D3480B"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2273A1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2273A1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2273A1" w:rsidRDefault="00950B76" w:rsidP="002716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2273A1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73A1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2273A1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2273A1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2273A1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2273A1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2273A1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2273A1">
        <w:rPr>
          <w:rFonts w:ascii="Bookman Old Style" w:hAnsi="Bookman Old Style"/>
          <w:sz w:val="24"/>
          <w:szCs w:val="24"/>
          <w:lang w:val="sv-SE"/>
        </w:rPr>
        <w:t>ariab</w:t>
      </w:r>
      <w:r w:rsidRPr="002273A1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2273A1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2273A1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2273A1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="00844321" w:rsidRPr="002273A1">
        <w:rPr>
          <w:rFonts w:ascii="Bookman Old Style" w:eastAsia="Verdana" w:hAnsi="Bookman Old Style" w:cs="Verdana"/>
          <w:spacing w:val="11"/>
          <w:sz w:val="24"/>
          <w:szCs w:val="24"/>
        </w:rPr>
        <w:t>tenaga</w:t>
      </w:r>
      <w:proofErr w:type="spellEnd"/>
      <w:r w:rsidR="00844321" w:rsidRPr="002273A1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="00844321" w:rsidRPr="002273A1">
        <w:rPr>
          <w:rFonts w:ascii="Bookman Old Style" w:eastAsia="Verdana" w:hAnsi="Bookman Old Style" w:cs="Verdana"/>
          <w:spacing w:val="11"/>
          <w:sz w:val="24"/>
          <w:szCs w:val="24"/>
        </w:rPr>
        <w:t>teknik</w:t>
      </w:r>
      <w:proofErr w:type="spellEnd"/>
      <w:r w:rsidR="00844321" w:rsidRPr="002273A1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2273A1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2273A1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2273A1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tekn</w:t>
      </w:r>
      <w:r w:rsidRPr="002273A1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2273A1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eastAsia="Verdana" w:hAnsi="Bookman Old Style" w:cs="Verdana"/>
          <w:sz w:val="24"/>
          <w:szCs w:val="24"/>
        </w:rPr>
        <w:t>Stand</w:t>
      </w:r>
      <w:r w:rsidRPr="002273A1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2273A1">
        <w:rPr>
          <w:rFonts w:ascii="Bookman Old Style" w:eastAsia="Verdana" w:hAnsi="Bookman Old Style" w:cs="Verdana"/>
          <w:sz w:val="24"/>
          <w:szCs w:val="24"/>
        </w:rPr>
        <w:t>ng</w:t>
      </w:r>
      <w:r w:rsidRPr="002273A1">
        <w:rPr>
          <w:rFonts w:ascii="Bookman Old Style" w:eastAsia="Verdana" w:hAnsi="Bookman Old Style" w:cs="Verdana"/>
          <w:spacing w:val="77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>Operation</w:t>
      </w:r>
      <w:r w:rsidRPr="002273A1">
        <w:rPr>
          <w:rFonts w:ascii="Bookman Old Style" w:eastAsia="Verdana" w:hAnsi="Bookman Old Style" w:cs="Verdana"/>
          <w:spacing w:val="77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>Procedure</w:t>
      </w:r>
      <w:r w:rsidRPr="002273A1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eastAsia="Verdana" w:hAnsi="Bookman Old Style" w:cs="Verdana"/>
          <w:sz w:val="24"/>
          <w:szCs w:val="24"/>
        </w:rPr>
        <w:lastRenderedPageBreak/>
        <w:t>Log</w:t>
      </w:r>
      <w:r w:rsidRPr="002273A1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>sheet</w:t>
      </w:r>
      <w:r w:rsidRPr="002273A1">
        <w:rPr>
          <w:rFonts w:ascii="Bookman Old Style" w:eastAsia="Verdana" w:hAnsi="Bookman Old Style" w:cs="Verdana"/>
          <w:spacing w:val="40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2273A1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>report</w:t>
      </w:r>
      <w:r w:rsidRPr="002273A1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>sheet</w:t>
      </w:r>
      <w:r w:rsidRPr="002273A1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D3480B" w:rsidRPr="002273A1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2273A1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2273A1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2273A1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2273A1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2273A1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2273A1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2273A1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2273A1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080B16" w:rsidRPr="002273A1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bookmarkStart w:id="2" w:name="_GoBack"/>
      <w:bookmarkEnd w:id="2"/>
      <w:r w:rsidRPr="002273A1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2273A1">
        <w:rPr>
          <w:rFonts w:ascii="Bookman Old Style" w:hAnsi="Bookman Old Style"/>
          <w:sz w:val="24"/>
          <w:szCs w:val="24"/>
          <w:lang w:val="id-ID"/>
        </w:rPr>
        <w:t>S</w:t>
      </w:r>
      <w:r w:rsidRPr="002273A1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2273A1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2273A1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2273A1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2273A1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2273A1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2273A1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2273A1">
        <w:rPr>
          <w:rFonts w:ascii="Bookman Old Style" w:hAnsi="Bookman Old Style"/>
          <w:sz w:val="24"/>
          <w:szCs w:val="24"/>
        </w:rPr>
        <w:t>tentang</w:t>
      </w:r>
      <w:proofErr w:type="spellEnd"/>
      <w:r w:rsidRPr="002273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/>
          <w:sz w:val="24"/>
          <w:szCs w:val="24"/>
        </w:rPr>
        <w:t>Pengawasan</w:t>
      </w:r>
      <w:proofErr w:type="spellEnd"/>
      <w:r w:rsidRPr="002273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/>
          <w:sz w:val="24"/>
          <w:szCs w:val="24"/>
        </w:rPr>
        <w:t>Uji</w:t>
      </w:r>
      <w:proofErr w:type="spellEnd"/>
      <w:r w:rsidRPr="002273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/>
          <w:sz w:val="24"/>
          <w:szCs w:val="24"/>
        </w:rPr>
        <w:t>Kompetensi</w:t>
      </w:r>
      <w:proofErr w:type="spellEnd"/>
    </w:p>
    <w:p w:rsidR="00080B16" w:rsidRPr="002273A1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2273A1">
        <w:rPr>
          <w:rFonts w:ascii="Bookman Old Style" w:hAnsi="Bookman Old Style"/>
          <w:sz w:val="24"/>
          <w:szCs w:val="24"/>
          <w:lang w:val="id-ID"/>
        </w:rPr>
        <w:t>P</w:t>
      </w:r>
      <w:r w:rsidRPr="002273A1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2273A1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2273A1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2273A1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2273A1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2273A1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2273A1">
        <w:rPr>
          <w:rFonts w:ascii="Bookman Old Style" w:hAnsi="Bookman Old Style" w:cs="Arial"/>
          <w:b/>
          <w:bCs/>
          <w:sz w:val="24"/>
          <w:szCs w:val="24"/>
        </w:rPr>
        <w:lastRenderedPageBreak/>
        <w:t>PANDUAN PENILAIAN</w:t>
      </w:r>
    </w:p>
    <w:p w:rsidR="00080B16" w:rsidRPr="002273A1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2273A1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2273A1" w:rsidRDefault="004A5050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2273A1">
        <w:rPr>
          <w:rFonts w:ascii="Bookman Old Style" w:hAnsi="Bookman Old Style"/>
          <w:sz w:val="24"/>
          <w:szCs w:val="24"/>
          <w:lang w:val="sv-SE"/>
        </w:rPr>
        <w:t>Memiliki sertifikat pelatihan asesor ketenagalistrikan</w:t>
      </w:r>
    </w:p>
    <w:p w:rsidR="00080B16" w:rsidRPr="002273A1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2273A1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2273A1" w:rsidRDefault="006B2F68" w:rsidP="004C768E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Menguasai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pengelolaan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C768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pembangkit</w:t>
      </w:r>
      <w:proofErr w:type="spellEnd"/>
      <w:r w:rsidR="004C768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4C768E" w:rsidRPr="002273A1">
        <w:rPr>
          <w:rFonts w:ascii="Bookman Old Style" w:hAnsi="Bookman Old Style" w:cs="Arial"/>
          <w:bCs/>
          <w:sz w:val="24"/>
          <w:szCs w:val="24"/>
        </w:rPr>
        <w:t>tenaga</w:t>
      </w:r>
      <w:proofErr w:type="spellEnd"/>
      <w:r w:rsidR="004C768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4C768E" w:rsidRPr="002273A1">
        <w:rPr>
          <w:rFonts w:ascii="Bookman Old Style" w:hAnsi="Bookman Old Style" w:cs="Arial"/>
          <w:bCs/>
          <w:sz w:val="24"/>
          <w:szCs w:val="24"/>
        </w:rPr>
        <w:t>listrik</w:t>
      </w:r>
      <w:proofErr w:type="spellEnd"/>
    </w:p>
    <w:p w:rsidR="00080B16" w:rsidRPr="002273A1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2273A1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2273A1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2273A1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2273A1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2273A1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2273A1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2273A1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2273A1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2273A1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2273A1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2273A1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2273A1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2273A1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2273A1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2273A1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2273A1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2273A1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2273A1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2273A1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2273A1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CE26419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325A0BF4"/>
    <w:lvl w:ilvl="0" w:tplc="0602E554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39283B9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2273A1"/>
    <w:rsid w:val="002420B2"/>
    <w:rsid w:val="00271669"/>
    <w:rsid w:val="002B0D72"/>
    <w:rsid w:val="002F3D13"/>
    <w:rsid w:val="00387D7F"/>
    <w:rsid w:val="00407A0A"/>
    <w:rsid w:val="00486024"/>
    <w:rsid w:val="004A5050"/>
    <w:rsid w:val="004C768E"/>
    <w:rsid w:val="00581582"/>
    <w:rsid w:val="00593DDA"/>
    <w:rsid w:val="0060463B"/>
    <w:rsid w:val="00606953"/>
    <w:rsid w:val="006B2F68"/>
    <w:rsid w:val="0074643C"/>
    <w:rsid w:val="00775365"/>
    <w:rsid w:val="00844321"/>
    <w:rsid w:val="00857B1D"/>
    <w:rsid w:val="008D4613"/>
    <w:rsid w:val="008D4B48"/>
    <w:rsid w:val="00950B76"/>
    <w:rsid w:val="009C03B5"/>
    <w:rsid w:val="00A1062D"/>
    <w:rsid w:val="00A72D37"/>
    <w:rsid w:val="00AB0225"/>
    <w:rsid w:val="00AB7055"/>
    <w:rsid w:val="00AC6EF8"/>
    <w:rsid w:val="00BA4D10"/>
    <w:rsid w:val="00D24819"/>
    <w:rsid w:val="00D3480B"/>
    <w:rsid w:val="00D8023E"/>
    <w:rsid w:val="00DA6F42"/>
    <w:rsid w:val="00E11AA1"/>
    <w:rsid w:val="00EB50D3"/>
    <w:rsid w:val="00F43312"/>
    <w:rsid w:val="00F977A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60AC-3BD8-4AE6-AB1E-F006CEBB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ASUS</cp:lastModifiedBy>
  <cp:revision>9</cp:revision>
  <cp:lastPrinted>2017-04-20T01:10:00Z</cp:lastPrinted>
  <dcterms:created xsi:type="dcterms:W3CDTF">2017-04-18T08:31:00Z</dcterms:created>
  <dcterms:modified xsi:type="dcterms:W3CDTF">2017-04-20T04:04:00Z</dcterms:modified>
</cp:coreProperties>
</file>