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MADYA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394650">
        <w:rPr>
          <w:rFonts w:ascii="Bookman Old Style" w:hAnsi="Bookman Old Style"/>
          <w:b/>
          <w:sz w:val="24"/>
          <w:szCs w:val="24"/>
          <w:lang w:val="sv-SE"/>
        </w:rPr>
        <w:t>INSTALASI PEMANFAATAN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madya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394650">
        <w:rPr>
          <w:rFonts w:ascii="Bookman Old Style" w:hAnsi="Bookman Old Style"/>
          <w:b/>
          <w:sz w:val="24"/>
          <w:szCs w:val="24"/>
          <w:highlight w:val="yellow"/>
          <w:lang w:val="sv-SE"/>
        </w:rPr>
        <w:t>instalasi pemanfaatan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DC4101">
        <w:rPr>
          <w:rFonts w:ascii="Bookman Old Style" w:hAnsi="Bookman Old Style"/>
          <w:b/>
          <w:sz w:val="24"/>
          <w:szCs w:val="24"/>
          <w:lang w:val="sv-SE"/>
        </w:rPr>
        <w:t>tenaga listrik</w:t>
      </w:r>
      <w:bookmarkStart w:id="2" w:name="_GoBack"/>
      <w:bookmarkEnd w:id="2"/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</w:t>
      </w:r>
      <w:r w:rsidR="00AA6543">
        <w:rPr>
          <w:rStyle w:val="Style2Char"/>
          <w:rFonts w:ascii="Bookman Old Style" w:eastAsia="Calibri" w:hAnsi="Bookman Old Style"/>
          <w:b w:val="0"/>
          <w:szCs w:val="24"/>
        </w:rPr>
        <w:t xml:space="preserve">uji kompetensi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394650">
        <w:rPr>
          <w:rStyle w:val="Style2Char"/>
          <w:rFonts w:ascii="Bookman Old Style" w:eastAsia="Calibri" w:hAnsi="Bookman Old Style"/>
          <w:b w:val="0"/>
          <w:szCs w:val="24"/>
        </w:rPr>
        <w:t>Instalasi pemanfaatan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AA6543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AA6543" w:rsidRPr="000348E2" w:rsidRDefault="00D93403" w:rsidP="00D93403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Bila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terjadi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</w:t>
            </w:r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asalah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ditanggulangi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Hasil penilaian dijaga 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857B1D" w:rsidP="00606953">
      <w:pPr>
        <w:spacing w:line="360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 w:rsidR="00606953" w:rsidRPr="000348E2">
        <w:rPr>
          <w:rFonts w:ascii="Bookman Old Style" w:hAnsi="Bookman Old Style"/>
          <w:sz w:val="24"/>
          <w:szCs w:val="24"/>
          <w:lang w:val="sv-SE"/>
        </w:rPr>
        <w:t>sekurang-kurangnya 6 (enam) kali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D8023E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Mengkoordinir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Proses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2420B2"/>
    <w:rsid w:val="002F3D13"/>
    <w:rsid w:val="00394650"/>
    <w:rsid w:val="00407A0A"/>
    <w:rsid w:val="00581582"/>
    <w:rsid w:val="0060463B"/>
    <w:rsid w:val="00606953"/>
    <w:rsid w:val="0074643C"/>
    <w:rsid w:val="00857B1D"/>
    <w:rsid w:val="008C1B09"/>
    <w:rsid w:val="008D4613"/>
    <w:rsid w:val="008D4B48"/>
    <w:rsid w:val="00950B76"/>
    <w:rsid w:val="009E17D2"/>
    <w:rsid w:val="00AA6543"/>
    <w:rsid w:val="00AB0225"/>
    <w:rsid w:val="00AB7055"/>
    <w:rsid w:val="00AC6EF8"/>
    <w:rsid w:val="00BA4D10"/>
    <w:rsid w:val="00D8023E"/>
    <w:rsid w:val="00D93403"/>
    <w:rsid w:val="00DA6F42"/>
    <w:rsid w:val="00DC4101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2</cp:revision>
  <dcterms:created xsi:type="dcterms:W3CDTF">2017-04-18T08:36:00Z</dcterms:created>
  <dcterms:modified xsi:type="dcterms:W3CDTF">2017-04-18T08:36:00Z</dcterms:modified>
</cp:coreProperties>
</file>